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4D" w:rsidRPr="00D5434D" w:rsidRDefault="00D5434D" w:rsidP="00D5434D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hAnsi="Arial" w:cs="Times New Roman"/>
          <w:color w:val="222222"/>
          <w:sz w:val="23"/>
          <w:szCs w:val="23"/>
        </w:rPr>
        <w:t>Supplementary Table 1. Proteome reconstruction. A) Protein complexes, B) Protein modifications, C) Modified proteins, D) Meta-complexes.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2. Functional proteome coverage by mass.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 xml:space="preserve">Supplementary Table 3. Coverage of conserved microbial genes and genes essential under all profiled growth conditions. A) Profiling of </w:t>
      </w:r>
      <w:r w:rsidRPr="00D5434D">
        <w:rPr>
          <w:rFonts w:ascii="Arial" w:hAnsi="Arial" w:cs="Times New Roman"/>
          <w:i/>
          <w:iCs/>
          <w:color w:val="222222"/>
          <w:sz w:val="23"/>
          <w:szCs w:val="23"/>
        </w:rPr>
        <w:t xml:space="preserve">E. coli </w:t>
      </w:r>
      <w:r w:rsidRPr="00D5434D">
        <w:rPr>
          <w:rFonts w:ascii="Arial" w:hAnsi="Arial" w:cs="Times New Roman"/>
          <w:color w:val="222222"/>
          <w:sz w:val="23"/>
          <w:szCs w:val="23"/>
        </w:rPr>
        <w:t>chromosome (PEC) database comparison, B) ME-Model versus 206 minimal functions.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4. Gene essentiality results. A) Single knockout data and predictions, B) Consistency tables.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5. Comparison of methods to predict absolute growth rate. A) Growth data and predictions, B) Growth correlations, C) Substrate uptake and yield.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6. Physiological sensitivity analysis. A) Unmodeled protein, B) Median enzyme efficiency.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7. Central carbon metabolism fluxes. A) Glucose-limited slow growth, B) Glucose-limited moderate growth, C) Glucose batch culture.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8. Gene clusters identified under glucose limitation. A) Strictly nutrient-limited regime, B) Janusian transition regime.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9. Metabolic reactions and metabolites. A) Metabolic reactions, B) New metabolites, C) New reactions, D) Reactions updated with genetic substrates, E) Deleted reactions.</w:t>
      </w:r>
    </w:p>
    <w:p w:rsidR="00D5434D" w:rsidRPr="00D5434D" w:rsidRDefault="00D5434D" w:rsidP="00D5434D">
      <w:pPr>
        <w:rPr>
          <w:rFonts w:ascii="Arial" w:hAnsi="Arial" w:cs="Times New Roman"/>
          <w:color w:val="222222"/>
          <w:sz w:val="20"/>
          <w:szCs w:val="20"/>
        </w:rPr>
      </w:pPr>
      <w:r w:rsidRPr="00D5434D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5434D">
        <w:rPr>
          <w:rFonts w:ascii="Arial" w:hAnsi="Arial" w:cs="Times New Roman"/>
          <w:color w:val="222222"/>
          <w:sz w:val="23"/>
          <w:szCs w:val="23"/>
        </w:rPr>
        <w:t>Supplementary Table 10. Metabolic reaction enzymes.</w:t>
      </w:r>
    </w:p>
    <w:p w:rsidR="00D5434D" w:rsidRPr="00D5434D" w:rsidRDefault="00D5434D" w:rsidP="00D5434D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</w:p>
    <w:p w:rsidR="00D5434D" w:rsidRDefault="00D5434D">
      <w:bookmarkStart w:id="0" w:name="_GoBack"/>
      <w:bookmarkEnd w:id="0"/>
    </w:p>
    <w:sectPr w:rsidR="00D5434D" w:rsidSect="002D49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4D"/>
    <w:rsid w:val="002D4996"/>
    <w:rsid w:val="00613C34"/>
    <w:rsid w:val="00CB0776"/>
    <w:rsid w:val="00D5434D"/>
    <w:rsid w:val="00E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34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34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UC San Diego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Lerman</dc:creator>
  <cp:keywords/>
  <dc:description/>
  <cp:lastModifiedBy>Bigmore, Susan</cp:lastModifiedBy>
  <cp:revision>3</cp:revision>
  <dcterms:created xsi:type="dcterms:W3CDTF">2013-09-24T15:08:00Z</dcterms:created>
  <dcterms:modified xsi:type="dcterms:W3CDTF">2013-09-24T15:11:00Z</dcterms:modified>
</cp:coreProperties>
</file>