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u w:val="single"/>
        </w:rPr>
      </w:pPr>
      <w:r w:rsidDel="00000000" w:rsidR="00000000" w:rsidRPr="00000000">
        <w:rPr>
          <w:u w:val="single"/>
          <w:rtl w:val="0"/>
        </w:rPr>
        <w:t xml:space="preserve">RNAseq RIP HuR </w:t>
      </w:r>
    </w:p>
    <w:p w:rsidR="00000000" w:rsidDel="00000000" w:rsidP="00000000" w:rsidRDefault="00000000" w:rsidRPr="00000000" w14:paraId="00000001">
      <w:pPr>
        <w:contextualSpacing w:val="0"/>
        <w:rPr/>
      </w:pPr>
      <w:r w:rsidDel="00000000" w:rsidR="00000000" w:rsidRPr="00000000">
        <w:rPr>
          <w:rtl w:val="0"/>
        </w:rPr>
        <w:t xml:space="preserve">Materials and methods</w:t>
      </w:r>
    </w:p>
    <w:p w:rsidR="00000000" w:rsidDel="00000000" w:rsidP="00000000" w:rsidRDefault="00000000" w:rsidRPr="00000000" w14:paraId="00000002">
      <w:pPr>
        <w:spacing w:after="0" w:lineRule="auto"/>
        <w:contextualSpacing w:val="0"/>
        <w:jc w:val="both"/>
        <w:rPr/>
      </w:pPr>
      <w:bookmarkStart w:colFirst="0" w:colLast="0" w:name="_gjdgxs" w:id="0"/>
      <w:bookmarkEnd w:id="0"/>
      <w:r w:rsidDel="00000000" w:rsidR="00000000" w:rsidRPr="00000000">
        <w:rPr>
          <w:rtl w:val="0"/>
        </w:rPr>
        <w:t xml:space="preserve">The quantity of 9 Input RNA samples was initially measured with nanodrop and each sample was diluted at approximately 10ng/μl. The quantity and quality of the 9 diluted Input samples and the remaining 12 RNA RIP HuR samples was further analyzed using the Agilent bioanalyzer instrument with the Agilent RNA 6000 Pico kit, according to manufacturer’s instructions (Agilent Technologies). After assessment of the RNAs which were already partially fragmented, whole transcriptome libraries were prepared using the Ion Total RNA-Seq Kit v2 protocol and reagents (ThermoFisher Scientific) according to manufacturer’s instructions. No selection was necessary so the samples were further fragmented, reversed transcribed and amplified after the addition of a specific (~10bp) barcode to each sample. The quantity and quality of the prepared libraries was again assessed on bioanalyzer using the DNA High Sensitivity Kit, according to manufacturer’s instructions (Agilent Technologies). Libraries were diluted in the required concentration/molarity and subsequently pooled together in triplicates. The pools were then processed on an OneTouch 2 instrument and enriched on a One Touch ES station. Templating was performed using the Ion PI™ Hi-Q™ OT2 200 Kit reagents and protocol (ThermoFisher Scientific). Sequencing was performed using the Ion PI™ Hi-Q™ Sequencing 200 Kit and Ion Proton PI™ V2 chips (ThermoFisher Scientific) on an Ion Proton™ system, according to the manufacturer's instructions. An initial analysis, sample/barcode assignment, was performed on the Ion proton server. The sequencing data was mapped to the mm10 genome using Bowtie2 [1] with the settings --local --very-sensitive according to the manufacturers recommendations. Reads were assigned to exons calculating RPKM values using the featureCounts package [2] and exon annotations obtained from ftp://</w:t>
      </w:r>
      <w:hyperlink r:id="rId6">
        <w:r w:rsidDel="00000000" w:rsidR="00000000" w:rsidRPr="00000000">
          <w:rPr>
            <w:color w:val="1155cc"/>
            <w:u w:val="single"/>
            <w:rtl w:val="0"/>
          </w:rPr>
          <w:t xml:space="preserve">ftp.ensembl.org/pub/release-93/gtf/mus_musculus</w:t>
        </w:r>
      </w:hyperlink>
      <w:r w:rsidDel="00000000" w:rsidR="00000000" w:rsidRPr="00000000">
        <w:rPr>
          <w:rtl w:val="0"/>
        </w:rPr>
        <w:t xml:space="preserve"> . Using custom R scripts, all fold changes were calculated using a one read pseudocount as lfc=log2((1+condictionRPKM)/(1+referenceRPKM)).</w:t>
      </w:r>
    </w:p>
    <w:p w:rsidR="00000000" w:rsidDel="00000000" w:rsidP="00000000" w:rsidRDefault="00000000" w:rsidRPr="00000000" w14:paraId="00000003">
      <w:pPr>
        <w:spacing w:after="0" w:lineRule="auto"/>
        <w:contextualSpacing w:val="0"/>
        <w:jc w:val="both"/>
        <w:rPr/>
      </w:pPr>
      <w:bookmarkStart w:colFirst="0" w:colLast="0" w:name="_ijrin4h1rncx" w:id="1"/>
      <w:bookmarkEnd w:id="1"/>
      <w:r w:rsidDel="00000000" w:rsidR="00000000" w:rsidRPr="00000000">
        <w:rPr>
          <w:rtl w:val="0"/>
        </w:rPr>
        <w:t xml:space="preserve">Significance of the fold changes was assessed using two-sided Student-s t-tests and adjusted p-values were calculated using the Benjamini and Yekutieli method [3] to compensate for multiple testing.</w:t>
      </w:r>
    </w:p>
    <w:p w:rsidR="00000000" w:rsidDel="00000000" w:rsidP="00000000" w:rsidRDefault="00000000" w:rsidRPr="00000000" w14:paraId="00000004">
      <w:pPr>
        <w:spacing w:after="0" w:lineRule="auto"/>
        <w:contextualSpacing w:val="0"/>
        <w:jc w:val="both"/>
        <w:rPr/>
      </w:pPr>
      <w:bookmarkStart w:colFirst="0" w:colLast="0" w:name="_mo5g906eosda" w:id="2"/>
      <w:bookmarkEnd w:id="2"/>
      <w:r w:rsidDel="00000000" w:rsidR="00000000" w:rsidRPr="00000000">
        <w:rPr>
          <w:rtl w:val="0"/>
        </w:rPr>
      </w:r>
    </w:p>
    <w:p w:rsidR="00000000" w:rsidDel="00000000" w:rsidP="00000000" w:rsidRDefault="00000000" w:rsidRPr="00000000" w14:paraId="00000005">
      <w:pPr>
        <w:spacing w:after="0" w:lineRule="auto"/>
        <w:contextualSpacing w:val="0"/>
        <w:jc w:val="both"/>
        <w:rPr>
          <w:color w:val="555555"/>
          <w:shd w:fill="efefef" w:val="clear"/>
        </w:rPr>
      </w:pPr>
      <w:bookmarkStart w:colFirst="0" w:colLast="0" w:name="_w9ik3qstty1j" w:id="3"/>
      <w:bookmarkEnd w:id="3"/>
      <w:r w:rsidDel="00000000" w:rsidR="00000000" w:rsidRPr="00000000">
        <w:rPr>
          <w:color w:val="555555"/>
          <w:shd w:fill="efefef" w:val="clear"/>
          <w:rtl w:val="0"/>
        </w:rPr>
        <w:t xml:space="preserve">[1] </w:t>
      </w:r>
      <w:r w:rsidDel="00000000" w:rsidR="00000000" w:rsidRPr="00000000">
        <w:rPr>
          <w:color w:val="555555"/>
          <w:shd w:fill="efefef" w:val="clear"/>
          <w:rtl w:val="0"/>
        </w:rPr>
        <w:t xml:space="preserve">Langmead B, Salzberg S. </w:t>
      </w:r>
      <w:hyperlink r:id="rId7">
        <w:r w:rsidDel="00000000" w:rsidR="00000000" w:rsidRPr="00000000">
          <w:rPr>
            <w:b w:val="1"/>
            <w:color w:val="0066b3"/>
            <w:shd w:fill="efefef" w:val="clear"/>
            <w:rtl w:val="0"/>
          </w:rPr>
          <w:t xml:space="preserve">Fast gapped-read alignment with Bowtie 2</w:t>
        </w:r>
      </w:hyperlink>
      <w:r w:rsidDel="00000000" w:rsidR="00000000" w:rsidRPr="00000000">
        <w:rPr>
          <w:color w:val="555555"/>
          <w:shd w:fill="efefef" w:val="clear"/>
          <w:rtl w:val="0"/>
        </w:rPr>
        <w:t xml:space="preserve">. </w:t>
      </w:r>
      <w:hyperlink r:id="rId8">
        <w:r w:rsidDel="00000000" w:rsidR="00000000" w:rsidRPr="00000000">
          <w:rPr>
            <w:i w:val="1"/>
            <w:color w:val="0066b3"/>
            <w:shd w:fill="efefef" w:val="clear"/>
            <w:rtl w:val="0"/>
          </w:rPr>
          <w:t xml:space="preserve">Nature Methods</w:t>
        </w:r>
      </w:hyperlink>
      <w:r w:rsidDel="00000000" w:rsidR="00000000" w:rsidRPr="00000000">
        <w:rPr>
          <w:color w:val="555555"/>
          <w:shd w:fill="efefef" w:val="clear"/>
          <w:rtl w:val="0"/>
        </w:rPr>
        <w:t xml:space="preserve">. 2012, 9:357-359.</w:t>
      </w:r>
    </w:p>
    <w:p w:rsidR="00000000" w:rsidDel="00000000" w:rsidP="00000000" w:rsidRDefault="00000000" w:rsidRPr="00000000" w14:paraId="00000006">
      <w:pPr>
        <w:spacing w:after="0" w:lineRule="auto"/>
        <w:contextualSpacing w:val="0"/>
        <w:jc w:val="both"/>
        <w:rPr>
          <w:color w:val="555555"/>
          <w:shd w:fill="efefef" w:val="clear"/>
        </w:rPr>
      </w:pPr>
      <w:bookmarkStart w:colFirst="0" w:colLast="0" w:name="_h07m4p18xk7k" w:id="4"/>
      <w:bookmarkEnd w:id="4"/>
      <w:r w:rsidDel="00000000" w:rsidR="00000000" w:rsidRPr="00000000">
        <w:rPr>
          <w:rtl w:val="0"/>
        </w:rPr>
      </w:r>
    </w:p>
    <w:p w:rsidR="00000000" w:rsidDel="00000000" w:rsidP="00000000" w:rsidRDefault="00000000" w:rsidRPr="00000000" w14:paraId="00000007">
      <w:pPr>
        <w:spacing w:after="0" w:lineRule="auto"/>
        <w:contextualSpacing w:val="0"/>
        <w:jc w:val="both"/>
        <w:rPr>
          <w:color w:val="555555"/>
          <w:shd w:fill="efefef" w:val="clear"/>
        </w:rPr>
      </w:pPr>
      <w:bookmarkStart w:colFirst="0" w:colLast="0" w:name="_vpb6a89s2nnu" w:id="5"/>
      <w:bookmarkEnd w:id="5"/>
      <w:r w:rsidDel="00000000" w:rsidR="00000000" w:rsidRPr="00000000">
        <w:rPr>
          <w:color w:val="555555"/>
          <w:shd w:fill="efefef" w:val="clear"/>
          <w:rtl w:val="0"/>
        </w:rPr>
        <w:t xml:space="preserve">[2] Liao Y, Smyth GK and Shi W. featureCounts: an efficient general-purpose program for assigning sequence reads to genomic features. Bioinformatics 2014, 30(7):923-30.</w:t>
      </w:r>
    </w:p>
    <w:p w:rsidR="00000000" w:rsidDel="00000000" w:rsidP="00000000" w:rsidRDefault="00000000" w:rsidRPr="00000000" w14:paraId="00000008">
      <w:pPr>
        <w:spacing w:after="0" w:lineRule="auto"/>
        <w:contextualSpacing w:val="0"/>
        <w:jc w:val="both"/>
        <w:rPr>
          <w:color w:val="555555"/>
          <w:shd w:fill="efefef" w:val="clear"/>
        </w:rPr>
      </w:pPr>
      <w:bookmarkStart w:colFirst="0" w:colLast="0" w:name="_399f8rp1s56p" w:id="6"/>
      <w:bookmarkEnd w:id="6"/>
      <w:r w:rsidDel="00000000" w:rsidR="00000000" w:rsidRPr="00000000">
        <w:rPr>
          <w:rtl w:val="0"/>
        </w:rPr>
      </w:r>
    </w:p>
    <w:p w:rsidR="00000000" w:rsidDel="00000000" w:rsidP="00000000" w:rsidRDefault="00000000" w:rsidRPr="00000000" w14:paraId="00000009">
      <w:pPr>
        <w:spacing w:after="0" w:lineRule="auto"/>
        <w:contextualSpacing w:val="0"/>
        <w:jc w:val="both"/>
        <w:rPr>
          <w:color w:val="555555"/>
          <w:shd w:fill="efefef" w:val="clear"/>
        </w:rPr>
      </w:pPr>
      <w:bookmarkStart w:colFirst="0" w:colLast="0" w:name="_uycmeng502bf" w:id="7"/>
      <w:bookmarkEnd w:id="7"/>
      <w:r w:rsidDel="00000000" w:rsidR="00000000" w:rsidRPr="00000000">
        <w:rPr>
          <w:color w:val="555555"/>
          <w:shd w:fill="efefef" w:val="clear"/>
          <w:rtl w:val="0"/>
        </w:rPr>
        <w:t xml:space="preserve">[3] Benjamini Y, and Yekutieli D. The control of the false discovery rate in multiple testing under dependency. Annals of Statistics 2001, 29, 1165–1188.</w:t>
      </w:r>
      <w:r w:rsidDel="00000000" w:rsidR="00000000" w:rsidRPr="00000000">
        <w:rPr>
          <w:rtl w:val="0"/>
        </w:rPr>
      </w:r>
    </w:p>
    <w:sectPr>
      <w:pgSz w:h="15840" w:w="1224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tp.ensembl.org/pub/release-93/gtf/mus_musculus" TargetMode="External"/><Relationship Id="rId7" Type="http://schemas.openxmlformats.org/officeDocument/2006/relationships/hyperlink" Target="http://www.nature.com/nmeth/journal/v9/n4/full/nmeth.1923.html" TargetMode="External"/><Relationship Id="rId8" Type="http://schemas.openxmlformats.org/officeDocument/2006/relationships/hyperlink" Target="http://www.nature.com/nme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