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rFonts w:ascii="Times New Roman" w:hAnsi="Times New Roman" w:cs="Times New Roman"/>
          <w:b/>
          <w:b/>
          <w:sz w:val="24"/>
          <w:szCs w:val="24"/>
          <w:lang w:val="en-US"/>
        </w:rPr>
      </w:pPr>
      <w:r>
        <w:rPr>
          <w:rFonts w:cs="Times New Roman" w:ascii="Times New Roman" w:hAnsi="Times New Roman"/>
          <w:b/>
          <w:sz w:val="24"/>
          <w:szCs w:val="24"/>
          <w:lang w:val="en-US"/>
        </w:rPr>
        <w:t>RNA-sequencing</w:t>
      </w:r>
    </w:p>
    <w:p>
      <w:pPr>
        <w:pStyle w:val="Normal"/>
        <w:spacing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before="0" w:after="0"/>
        <w:jc w:val="both"/>
        <w:rPr/>
      </w:pPr>
      <w:r>
        <w:rPr>
          <w:rFonts w:cs="Times New Roman" w:ascii="Times New Roman" w:hAnsi="Times New Roman"/>
          <w:sz w:val="24"/>
          <w:szCs w:val="24"/>
          <w:lang w:val="en-US"/>
        </w:rPr>
        <w:t xml:space="preserve">The quality of the RNA samples was assessed on the Agilent Bioanalyzer system using the </w:t>
      </w:r>
      <w:hyperlink r:id="rId2">
        <w:r>
          <w:rPr>
            <w:rStyle w:val="InternetLink"/>
            <w:rFonts w:cs="Times New Roman" w:ascii="Times New Roman" w:hAnsi="Times New Roman"/>
            <w:sz w:val="24"/>
            <w:szCs w:val="24"/>
            <w:lang w:val="en-US"/>
          </w:rPr>
          <w:t>Agilent RNA 6000 Nano Kit reagents and protocol</w:t>
        </w:r>
      </w:hyperlink>
      <w:r>
        <w:rPr>
          <w:rFonts w:cs="Times New Roman" w:ascii="Times New Roman" w:hAnsi="Times New Roman"/>
          <w:sz w:val="24"/>
          <w:szCs w:val="24"/>
          <w:lang w:val="en-US"/>
        </w:rPr>
        <w:t xml:space="preserve"> (Agilent Technologies). RNA samples with RNA Integrity Number (RIN) &gt;7 were further used for library preparation and sequencing.</w:t>
      </w:r>
    </w:p>
    <w:p>
      <w:pPr>
        <w:pStyle w:val="Normal"/>
        <w:spacing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before="0" w:after="0"/>
        <w:jc w:val="both"/>
        <w:rPr>
          <w:rFonts w:ascii="Times New Roman" w:hAnsi="Times New Roman" w:cs="Times New Roman"/>
          <w:sz w:val="24"/>
          <w:szCs w:val="24"/>
          <w:lang w:val="en-US"/>
        </w:rPr>
      </w:pPr>
      <w:r>
        <w:rPr>
          <w:rFonts w:cs="Times New Roman" w:ascii="Times New Roman" w:hAnsi="Times New Roman"/>
          <w:b/>
          <w:sz w:val="24"/>
          <w:szCs w:val="24"/>
          <w:lang w:val="en-US"/>
        </w:rPr>
        <w:t>RNA library preparation</w:t>
      </w:r>
      <w:r>
        <w:rPr>
          <w:rFonts w:cs="Times New Roman" w:ascii="Times New Roman" w:hAnsi="Times New Roman"/>
          <w:sz w:val="24"/>
          <w:szCs w:val="24"/>
          <w:lang w:val="en-US"/>
        </w:rPr>
        <w:t>.</w:t>
      </w:r>
    </w:p>
    <w:p>
      <w:pPr>
        <w:pStyle w:val="Normal"/>
        <w:spacing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 xml:space="preserve">Up to 20 μg </w:t>
      </w:r>
      <w:bookmarkStart w:id="0" w:name="_GoBack"/>
      <w:bookmarkEnd w:id="0"/>
      <w:r>
        <w:rPr>
          <w:rFonts w:cs="Times New Roman" w:ascii="Times New Roman" w:hAnsi="Times New Roman"/>
          <w:sz w:val="24"/>
          <w:szCs w:val="24"/>
          <w:lang w:val="en-US"/>
        </w:rPr>
        <w:t>of total RNA were used for mRNA isolation using the Dynabeads® mRNA DIRECT™ Micro Kit (ThermoFisher Scientific). The isolated mRNA was digested with RNase III, purified, hybridized and ligated to Ion Adaptors, reverse transcribed, barcoded and amplified, using the Ion Total RNA‐Seq Kit v2 (ThermoFisher Scientific).</w:t>
      </w:r>
    </w:p>
    <w:p>
      <w:pPr>
        <w:pStyle w:val="Normal"/>
        <w:spacing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RNA sequencing was performed on an Ion Proton™ System, according to the manufacturer's instructions:</w:t>
      </w:r>
    </w:p>
    <w:p>
      <w:pPr>
        <w:pStyle w:val="Normal"/>
        <w:jc w:val="both"/>
        <w:rPr/>
      </w:pPr>
      <w:r>
        <w:rPr>
          <w:rFonts w:cs="Times New Roman" w:ascii="Times New Roman" w:hAnsi="Times New Roman"/>
          <w:sz w:val="24"/>
          <w:szCs w:val="24"/>
          <w:lang w:val="en-US"/>
        </w:rPr>
        <w:t>The prepared libraries were quantified and pooled together in duplicates at the required concentration. The pools were then processed on an OneTouch 2 instrument and enriched on a One Touch ES station. Templating was performed using the Ion PI™ Template OT2 200 Kit (ThermoFisher Scientific) and sequencing with the Ion PI™Sequencing 200 Kit on Ion Proton PI™ chips (ThermoFisher Scientific) according to commercially available protocols.</w:t>
      </w:r>
    </w:p>
    <w:p>
      <w:pPr>
        <w:pStyle w:val="Normal"/>
        <w:spacing w:lineRule="auto" w:line="480"/>
        <w:jc w:val="both"/>
        <w:rPr/>
      </w:pPr>
      <w:r>
        <w:rPr>
          <w:rFonts w:eastAsia="Times New Roman" w:cs="Times New Roman" w:ascii="Times New Roman" w:hAnsi="Times New Roman"/>
          <w:b/>
          <w:sz w:val="24"/>
          <w:szCs w:val="24"/>
          <w:lang w:val="en-US"/>
        </w:rPr>
        <w:t>Short read mapping</w:t>
      </w:r>
      <w:r>
        <w:rPr>
          <w:rFonts w:eastAsia="Times New Roman" w:cs="Times New Roman" w:ascii="Times New Roman" w:hAnsi="Times New Roman"/>
          <w:sz w:val="24"/>
          <w:szCs w:val="24"/>
          <w:lang w:val="en-US"/>
        </w:rPr>
        <w:t xml:space="preserve">. The RNA-Seq FASTQ files obtained after Ion Proton sequencing were mapped using </w:t>
      </w:r>
      <w:r>
        <w:rPr>
          <w:rFonts w:eastAsia="Times New Roman" w:cs="Times New Roman" w:ascii="Times New Roman" w:hAnsi="Times New Roman"/>
          <w:i/>
          <w:sz w:val="24"/>
          <w:szCs w:val="24"/>
          <w:lang w:val="en-US"/>
        </w:rPr>
        <w:t>tophat2</w:t>
      </w:r>
      <w:r>
        <w:rPr>
          <w:rFonts w:eastAsia="Times New Roman" w:cs="Times New Roman" w:ascii="Times New Roman" w:hAnsi="Times New Roman"/>
          <w:sz w:val="24"/>
          <w:szCs w:val="24"/>
          <w:lang w:val="en-US"/>
        </w:rPr>
        <w:t xml:space="preserve"> (https://ccb.jhu.edu/software/tophat/index.shtml), with default settings and using additional transcript annotation data for the </w:t>
      </w:r>
      <w:r>
        <w:rPr>
          <w:rFonts w:eastAsia="Times New Roman" w:cs="Times New Roman" w:ascii="Times New Roman" w:hAnsi="Times New Roman"/>
          <w:sz w:val="24"/>
          <w:szCs w:val="24"/>
          <w:lang w:val="en-US"/>
        </w:rPr>
        <w:t>mm</w:t>
      </w:r>
      <w:r>
        <w:rPr>
          <w:rFonts w:eastAsia="Times New Roman" w:cs="Times New Roman" w:ascii="Times New Roman" w:hAnsi="Times New Roman"/>
          <w:sz w:val="24"/>
          <w:szCs w:val="24"/>
          <w:lang w:val="en-US"/>
        </w:rPr>
        <w:t xml:space="preserve">9 genome from Illumina iGenomes (http://cufflinks.cbcb.umd.edu/igenomes.html). Next, the reads which remained unmapped were submitted to a second round of mapping using </w:t>
      </w:r>
      <w:r>
        <w:rPr>
          <w:rFonts w:eastAsia="Times New Roman" w:cs="Times New Roman" w:ascii="Times New Roman" w:hAnsi="Times New Roman"/>
          <w:i/>
          <w:sz w:val="24"/>
          <w:szCs w:val="24"/>
          <w:lang w:val="en-US"/>
        </w:rPr>
        <w:t>Bowtie2</w:t>
      </w:r>
      <w:r>
        <w:rPr>
          <w:rFonts w:eastAsia="Times New Roman" w:cs="Times New Roman" w:ascii="Times New Roman" w:hAnsi="Times New Roman"/>
          <w:sz w:val="24"/>
          <w:szCs w:val="24"/>
          <w:lang w:val="en-US"/>
        </w:rPr>
        <w:t xml:space="preserve"> (http://bowtie-bio.sourceforge.net/bowtie2/index.shtml) against the </w:t>
      </w:r>
      <w:r>
        <w:rPr>
          <w:rFonts w:eastAsia="Times New Roman" w:cs="Times New Roman" w:ascii="Times New Roman" w:hAnsi="Times New Roman"/>
          <w:sz w:val="24"/>
          <w:szCs w:val="24"/>
          <w:lang w:val="en-US"/>
        </w:rPr>
        <w:t>mm</w:t>
      </w:r>
      <w:r>
        <w:rPr>
          <w:rFonts w:eastAsia="Times New Roman" w:cs="Times New Roman" w:ascii="Times New Roman" w:hAnsi="Times New Roman"/>
          <w:sz w:val="24"/>
          <w:szCs w:val="24"/>
          <w:lang w:val="en-US"/>
        </w:rPr>
        <w:t xml:space="preserve">9 genome with the </w:t>
      </w:r>
      <w:r>
        <w:rPr>
          <w:rFonts w:eastAsia="Times New Roman" w:cs="Times New Roman" w:ascii="Times New Roman" w:hAnsi="Times New Roman"/>
          <w:i/>
          <w:sz w:val="24"/>
          <w:szCs w:val="24"/>
          <w:lang w:val="en-US"/>
        </w:rPr>
        <w:t>--very-sensitive</w:t>
      </w:r>
      <w:r>
        <w:rPr>
          <w:rFonts w:eastAsia="Times New Roman" w:cs="Times New Roman" w:ascii="Times New Roman" w:hAnsi="Times New Roman"/>
          <w:sz w:val="24"/>
          <w:szCs w:val="24"/>
          <w:lang w:val="en-US"/>
        </w:rPr>
        <w:t xml:space="preserve"> switch turned on and merged with the initial mappings.</w:t>
      </w:r>
    </w:p>
    <w:p>
      <w:pPr>
        <w:pStyle w:val="Normal"/>
        <w:spacing w:lineRule="auto" w:line="480"/>
        <w:jc w:val="both"/>
        <w:rPr/>
      </w:pPr>
      <w:r>
        <w:rPr>
          <w:rFonts w:eastAsia="Times New Roman" w:cs="Times New Roman" w:ascii="Times New Roman" w:hAnsi="Times New Roman"/>
          <w:b/>
          <w:sz w:val="24"/>
          <w:szCs w:val="24"/>
          <w:lang w:val="en-US"/>
        </w:rPr>
        <w:t>RNA-Seq data analysis.</w:t>
      </w:r>
      <w:r>
        <w:rPr>
          <w:rFonts w:eastAsia="Times New Roman" w:cs="Times New Roman" w:ascii="Times New Roman" w:hAnsi="Times New Roman"/>
          <w:sz w:val="24"/>
          <w:szCs w:val="24"/>
          <w:lang w:val="en-US"/>
        </w:rPr>
        <w:t xml:space="preserve"> The resulting RNA-Seq BAM files were analyzed with the Bioconductor package metaseqR </w:t>
      </w:r>
      <w:r>
        <w:rPr>
          <w:rFonts w:eastAsia="Times New Roman" w:cs="Times New Roman" w:ascii="Times New Roman" w:hAnsi="Times New Roman"/>
          <w:sz w:val="24"/>
          <w:szCs w:val="24"/>
          <w:lang w:val="en-US"/>
        </w:rPr>
        <w:t xml:space="preserve">[Moulos2015] and applying the </w:t>
      </w:r>
      <w:r>
        <w:rPr>
          <w:rFonts w:eastAsia="Times New Roman" w:cs="Times New Roman" w:ascii="Times New Roman" w:hAnsi="Times New Roman"/>
          <w:sz w:val="24"/>
          <w:szCs w:val="24"/>
          <w:lang w:val="en-US"/>
        </w:rPr>
        <w:t>edgeR (</w:t>
      </w:r>
      <w:r>
        <w:rPr>
          <w:rFonts w:eastAsia="Times New Roman" w:cs="Times New Roman" w:ascii="Times New Roman" w:hAnsi="Times New Roman"/>
          <w:sz w:val="24"/>
          <w:szCs w:val="24"/>
          <w:lang w:val="en-US"/>
        </w:rPr>
        <w:t>http://www.bioconductor.org/packages/release/bioc/html/edgeR.html</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b w:val="false"/>
          <w:i w:val="false"/>
          <w:caps w:val="false"/>
          <w:smallCaps w:val="false"/>
          <w:color w:val="000000"/>
          <w:spacing w:val="0"/>
          <w:sz w:val="24"/>
          <w:szCs w:val="24"/>
          <w:lang w:val="en-US"/>
        </w:rPr>
        <w:t xml:space="preserve">methodology for differential expression analysis </w:t>
      </w:r>
      <w:r>
        <w:rPr>
          <w:rFonts w:eastAsia="Times New Roman" w:cs="Times New Roman" w:ascii="Times New Roman" w:hAnsi="Times New Roman"/>
          <w:b w:val="false"/>
          <w:i w:val="false"/>
          <w:caps w:val="false"/>
          <w:smallCaps w:val="false"/>
          <w:color w:val="000000"/>
          <w:spacing w:val="0"/>
          <w:sz w:val="24"/>
          <w:szCs w:val="24"/>
          <w:lang w:val="en-US"/>
        </w:rPr>
        <w:t>with default settings.</w:t>
      </w:r>
      <w:r>
        <w:rPr>
          <w:rFonts w:eastAsia="Times New Roman" w:cs="Times New Roman" w:ascii="Times New Roman" w:hAnsi="Times New Roman"/>
          <w:b w:val="false"/>
          <w:i w:val="false"/>
          <w:caps w:val="false"/>
          <w:smallCaps w:val="false"/>
          <w:color w:val="000000"/>
          <w:spacing w:val="0"/>
          <w:sz w:val="24"/>
          <w:szCs w:val="24"/>
          <w:lang w:val="en-US"/>
        </w:rPr>
        <w:t xml:space="preserve"> </w:t>
      </w:r>
    </w:p>
    <w:p>
      <w:pPr>
        <w:pStyle w:val="Normal"/>
        <w:spacing w:lineRule="auto" w:line="480"/>
        <w:jc w:val="both"/>
        <w:rPr>
          <w:rFonts w:ascii="Times New Roman" w:hAnsi="Times New Roman" w:eastAsia="Times New Roman" w:cs="Times New Roman"/>
          <w:sz w:val="24"/>
          <w:szCs w:val="24"/>
          <w:lang w:val="en-US"/>
        </w:rPr>
      </w:pPr>
      <w:r>
        <w:rPr/>
      </w:r>
    </w:p>
    <w:p>
      <w:pPr>
        <w:pStyle w:val="EndNoteBibliography"/>
        <w:spacing w:lineRule="auto" w:line="480"/>
        <w:ind w:left="720" w:hanging="720"/>
        <w:jc w:val="both"/>
        <w:rPr/>
      </w:pPr>
      <w:r>
        <w:rPr>
          <w:rFonts w:eastAsia="Times New Roman" w:cs="Times New Roman" w:ascii="Times New Roman" w:hAnsi="Times New Roman"/>
          <w:sz w:val="24"/>
          <w:szCs w:val="24"/>
          <w:lang w:val="en-US"/>
        </w:rPr>
        <w:t xml:space="preserve">[Moulos2015] </w:t>
      </w:r>
      <w:r>
        <w:rPr>
          <w:rFonts w:eastAsia="Times New Roman" w:cs="Times New Roman" w:ascii="Times New Roman" w:hAnsi="Times New Roman"/>
          <w:sz w:val="24"/>
          <w:szCs w:val="24"/>
          <w:lang w:val="en-US"/>
        </w:rPr>
        <w:t xml:space="preserve">Moulos, P. &amp; Hatzis, P. Systematic integration of RNA-Seq statistical algorithms for accurate detection of differential gene expression patterns. </w:t>
      </w:r>
      <w:r>
        <w:rPr>
          <w:rFonts w:eastAsia="Times New Roman" w:cs="Times New Roman" w:ascii="Times New Roman" w:hAnsi="Times New Roman"/>
          <w:i/>
          <w:sz w:val="24"/>
          <w:szCs w:val="24"/>
          <w:lang w:val="en-US"/>
        </w:rPr>
        <w:t>Nucleic Acids Res</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b/>
          <w:sz w:val="24"/>
          <w:szCs w:val="24"/>
          <w:lang w:val="en-US"/>
        </w:rPr>
        <w:t>43</w:t>
      </w:r>
      <w:r>
        <w:rPr>
          <w:rFonts w:eastAsia="Times New Roman" w:cs="Times New Roman" w:ascii="Times New Roman" w:hAnsi="Times New Roman"/>
          <w:sz w:val="24"/>
          <w:szCs w:val="24"/>
          <w:lang w:val="en-US"/>
        </w:rPr>
        <w:t>, e25 (2015).</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7094"/>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DejaVu Sans"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paragraph" w:styleId="EndNoteBibliography">
    <w:name w:val="EndNote Bibliography"/>
    <w:basedOn w:val="Normal"/>
    <w:qFormat/>
    <w:pPr>
      <w:jc w:val="both"/>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ilent.com/cs/library/usermanuals/public/G2938-90034_RNA6000Nano_KG.pd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LibreOffice/5.0.2.2$Linux_X86_64 LibreOffice_project/37b43f919e4de5eeaca9b9755ed688758a8251fe</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2017-06-15T09:49:00Z</dcterms:created>
  <dc:creator>Hatzis Pantelis</dc:creator>
  <dc:language>en-US</dc:language>
  <dcterms:modified xsi:type="dcterms:W3CDTF">2017-06-15T13:11:03Z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